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C2" w:rsidRPr="00611CFF" w:rsidRDefault="00C146C2" w:rsidP="00C146C2">
      <w:pPr>
        <w:spacing w:after="0"/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611CFF">
        <w:rPr>
          <w:rFonts w:ascii="Times New Roman" w:hAnsi="Times New Roman" w:cs="Times New Roman"/>
          <w:i/>
        </w:rPr>
        <w:t xml:space="preserve">           </w:t>
      </w:r>
      <w:r w:rsidRPr="00611CFF">
        <w:rPr>
          <w:rFonts w:ascii="Times New Roman" w:hAnsi="Times New Roman" w:cs="Times New Roman"/>
          <w:i/>
          <w:sz w:val="28"/>
          <w:szCs w:val="28"/>
        </w:rPr>
        <w:t xml:space="preserve">Indice </w:t>
      </w:r>
    </w:p>
    <w:p w:rsidR="00C146C2" w:rsidRPr="00611CFF" w:rsidRDefault="00C146C2" w:rsidP="00C146C2">
      <w:pPr>
        <w:spacing w:after="0"/>
        <w:ind w:left="1134" w:right="1134"/>
        <w:rPr>
          <w:rFonts w:ascii="Times New Roman" w:hAnsi="Times New Roman" w:cs="Times New Roman"/>
        </w:rPr>
      </w:pPr>
    </w:p>
    <w:p w:rsid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</w:p>
    <w:p w:rsidR="00C146C2" w:rsidRP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pag.</w:t>
      </w:r>
    </w:p>
    <w:p w:rsidR="00C146C2" w:rsidRPr="00611CFF" w:rsidRDefault="00C146C2" w:rsidP="00C146C2">
      <w:pPr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611C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I</w:t>
      </w:r>
    </w:p>
    <w:p w:rsidR="00C146C2" w:rsidRPr="00611CFF" w:rsidRDefault="00C146C2" w:rsidP="00C146C2">
      <w:pPr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611CFF">
        <w:rPr>
          <w:rFonts w:ascii="Times New Roman" w:hAnsi="Times New Roman" w:cs="Times New Roman"/>
          <w:i/>
          <w:sz w:val="28"/>
          <w:szCs w:val="28"/>
        </w:rPr>
        <w:t xml:space="preserve">                         La forma è la morte della vita?</w:t>
      </w:r>
    </w:p>
    <w:p w:rsidR="00C146C2" w:rsidRPr="00611CFF" w:rsidRDefault="00C146C2" w:rsidP="00C146C2">
      <w:pPr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611CF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11CFF" w:rsidRPr="00611CF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11CFF">
        <w:rPr>
          <w:rFonts w:ascii="Times New Roman" w:hAnsi="Times New Roman" w:cs="Times New Roman"/>
          <w:i/>
          <w:sz w:val="28"/>
          <w:szCs w:val="28"/>
        </w:rPr>
        <w:t xml:space="preserve">Il destino del diritto in Nietzsche e Pirandello </w:t>
      </w:r>
    </w:p>
    <w:p w:rsidR="00C146C2" w:rsidRPr="00611CFF" w:rsidRDefault="00C146C2" w:rsidP="00C146C2">
      <w:pPr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</w:p>
    <w:p w:rsid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</w:p>
    <w:p w:rsidR="00C146C2" w:rsidRDefault="00C146C2" w:rsidP="00C146C2">
      <w:pPr>
        <w:spacing w:after="0"/>
        <w:ind w:right="1134"/>
        <w:rPr>
          <w:rFonts w:ascii="Times New Roman" w:hAnsi="Times New Roman" w:cs="Times New Roman"/>
        </w:rPr>
      </w:pPr>
      <w:r w:rsidRPr="00C146C2">
        <w:rPr>
          <w:rFonts w:ascii="Times New Roman" w:hAnsi="Times New Roman" w:cs="Times New Roman"/>
        </w:rPr>
        <w:t>1.Socrate: ‘fare giustizia secondo le leggi’. Verità e forma</w:t>
      </w:r>
      <w:r>
        <w:rPr>
          <w:rFonts w:ascii="Times New Roman" w:hAnsi="Times New Roman" w:cs="Times New Roman"/>
        </w:rPr>
        <w:t xml:space="preserve"> nella</w:t>
      </w:r>
    </w:p>
    <w:p w:rsidR="00C146C2" w:rsidRDefault="00C146C2" w:rsidP="00C146C2">
      <w:pPr>
        <w:spacing w:after="0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Relazione giuridica: la differenza nomologica.                                                               13</w:t>
      </w:r>
    </w:p>
    <w:p w:rsidR="00C146C2" w:rsidRDefault="00C146C2" w:rsidP="00C146C2">
      <w:pPr>
        <w:spacing w:after="0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Nietzsche e Pirandello: la forma come morte della vita. I concetti,</w:t>
      </w:r>
    </w:p>
    <w:p w:rsidR="00C146C2" w:rsidRDefault="00C146C2" w:rsidP="00C146C2">
      <w:pPr>
        <w:spacing w:after="0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‘menzogne’ necessarie di una bio-economia.                                                                  25</w:t>
      </w:r>
    </w:p>
    <w:p w:rsidR="00C146C2" w:rsidRDefault="00C146C2" w:rsidP="00C146C2">
      <w:pPr>
        <w:spacing w:after="0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146C2">
        <w:rPr>
          <w:rFonts w:ascii="Times New Roman" w:hAnsi="Times New Roman" w:cs="Times New Roman"/>
        </w:rPr>
        <w:t>Nietzsche e Pirandello</w:t>
      </w:r>
      <w:r>
        <w:rPr>
          <w:rFonts w:ascii="Times New Roman" w:hAnsi="Times New Roman" w:cs="Times New Roman"/>
        </w:rPr>
        <w:t>: la forma del giudizio giuridico fissa ‘in un</w:t>
      </w:r>
    </w:p>
    <w:p w:rsidR="00C146C2" w:rsidRPr="00611CFF" w:rsidRDefault="00C146C2" w:rsidP="00611CFF">
      <w:pPr>
        <w:spacing w:after="0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atto’ lo scorrere della vita che ‘non conclude’</w:t>
      </w:r>
      <w:r w:rsidR="00611CFF">
        <w:rPr>
          <w:rFonts w:ascii="Times New Roman" w:hAnsi="Times New Roman" w:cs="Times New Roman"/>
        </w:rPr>
        <w:t>.                                                                39</w:t>
      </w:r>
    </w:p>
    <w:p w:rsid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</w:p>
    <w:p w:rsid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</w:p>
    <w:p w:rsid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</w:p>
    <w:p w:rsidR="00C146C2" w:rsidRPr="00611CFF" w:rsidRDefault="00611CFF" w:rsidP="00C146C2">
      <w:pPr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611C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1CFF">
        <w:rPr>
          <w:rFonts w:ascii="Times New Roman" w:hAnsi="Times New Roman" w:cs="Times New Roman"/>
          <w:i/>
          <w:sz w:val="28"/>
          <w:szCs w:val="28"/>
        </w:rPr>
        <w:t>II</w:t>
      </w:r>
    </w:p>
    <w:p w:rsidR="00C146C2" w:rsidRPr="00611CFF" w:rsidRDefault="00611CFF" w:rsidP="00C146C2">
      <w:pPr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611CFF">
        <w:rPr>
          <w:rFonts w:ascii="Times New Roman" w:hAnsi="Times New Roman" w:cs="Times New Roman"/>
          <w:i/>
          <w:sz w:val="28"/>
          <w:szCs w:val="28"/>
        </w:rPr>
        <w:t xml:space="preserve">                   La fenomenologia di Husserl e la genesi della</w:t>
      </w:r>
    </w:p>
    <w:p w:rsidR="00611CFF" w:rsidRPr="00611CFF" w:rsidRDefault="00611CFF" w:rsidP="00611CFF">
      <w:pPr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611CFF">
        <w:rPr>
          <w:rFonts w:ascii="Times New Roman" w:hAnsi="Times New Roman" w:cs="Times New Roman"/>
          <w:i/>
          <w:sz w:val="28"/>
          <w:szCs w:val="28"/>
        </w:rPr>
        <w:t xml:space="preserve">                     ‘dottrina pura del diritto’ di Kelsen.</w:t>
      </w:r>
    </w:p>
    <w:p w:rsidR="00611CFF" w:rsidRPr="00611CFF" w:rsidRDefault="00611CFF" w:rsidP="00611CFF">
      <w:pPr>
        <w:spacing w:after="0"/>
        <w:ind w:right="1134"/>
        <w:rPr>
          <w:rFonts w:ascii="Times New Roman" w:hAnsi="Times New Roman" w:cs="Times New Roman"/>
          <w:i/>
          <w:sz w:val="28"/>
          <w:szCs w:val="28"/>
        </w:rPr>
      </w:pPr>
    </w:p>
    <w:p w:rsidR="00611CFF" w:rsidRDefault="00611CFF" w:rsidP="00611CFF">
      <w:pPr>
        <w:spacing w:after="0"/>
        <w:ind w:right="1134"/>
        <w:rPr>
          <w:rFonts w:ascii="Times New Roman" w:hAnsi="Times New Roman" w:cs="Times New Roman"/>
          <w:i/>
        </w:rPr>
      </w:pPr>
    </w:p>
    <w:p w:rsidR="00611CFF" w:rsidRDefault="00611CFF" w:rsidP="00611CFF">
      <w:pPr>
        <w:spacing w:after="0"/>
        <w:ind w:right="1134"/>
        <w:rPr>
          <w:rFonts w:ascii="Times New Roman" w:hAnsi="Times New Roman" w:cs="Times New Roman"/>
        </w:rPr>
      </w:pPr>
      <w:r w:rsidRPr="00611CF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La conoscenza pura. Husserl e la ‘riduzione fenomenologica’                                    55</w:t>
      </w:r>
    </w:p>
    <w:p w:rsidR="00611CFF" w:rsidRDefault="00611CFF" w:rsidP="00611CFF">
      <w:pPr>
        <w:spacing w:after="0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Scienza della natura, scienza del fenomeno, scienza del diritto.                                  77</w:t>
      </w:r>
    </w:p>
    <w:p w:rsidR="00611CFF" w:rsidRPr="00611CFF" w:rsidRDefault="00611CFF" w:rsidP="00611CFF">
      <w:pPr>
        <w:spacing w:after="0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La struttura fattuale, ‘controgiuridica’ della norma fondamentale.                             103</w:t>
      </w:r>
    </w:p>
    <w:p w:rsidR="00966D99" w:rsidRPr="00C146C2" w:rsidRDefault="00C146C2" w:rsidP="00C146C2">
      <w:pPr>
        <w:spacing w:after="0"/>
        <w:ind w:left="1134" w:right="1134"/>
        <w:rPr>
          <w:rFonts w:ascii="Times New Roman" w:hAnsi="Times New Roman" w:cs="Times New Roman"/>
          <w:i/>
        </w:rPr>
      </w:pPr>
      <w:r w:rsidRPr="00C146C2">
        <w:rPr>
          <w:rFonts w:ascii="Times New Roman" w:hAnsi="Times New Roman" w:cs="Times New Roman"/>
          <w:i/>
        </w:rPr>
        <w:t xml:space="preserve">                      </w:t>
      </w:r>
    </w:p>
    <w:sectPr w:rsidR="00966D99" w:rsidRPr="00C14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307A"/>
    <w:multiLevelType w:val="hybridMultilevel"/>
    <w:tmpl w:val="EE387A52"/>
    <w:lvl w:ilvl="0" w:tplc="B2EA6B2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86195"/>
    <w:multiLevelType w:val="hybridMultilevel"/>
    <w:tmpl w:val="B05EB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4B4C"/>
    <w:multiLevelType w:val="hybridMultilevel"/>
    <w:tmpl w:val="5A027D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B6C"/>
    <w:multiLevelType w:val="hybridMultilevel"/>
    <w:tmpl w:val="5CC2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2E4D"/>
    <w:multiLevelType w:val="hybridMultilevel"/>
    <w:tmpl w:val="94FE6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4A6E"/>
    <w:multiLevelType w:val="hybridMultilevel"/>
    <w:tmpl w:val="E1C877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08"/>
    <w:multiLevelType w:val="hybridMultilevel"/>
    <w:tmpl w:val="BFACB10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EB141C1"/>
    <w:multiLevelType w:val="hybridMultilevel"/>
    <w:tmpl w:val="78E6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650"/>
    <w:multiLevelType w:val="hybridMultilevel"/>
    <w:tmpl w:val="35B23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379C"/>
    <w:multiLevelType w:val="hybridMultilevel"/>
    <w:tmpl w:val="39C6E81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5701593"/>
    <w:multiLevelType w:val="hybridMultilevel"/>
    <w:tmpl w:val="9FE6A316"/>
    <w:lvl w:ilvl="0" w:tplc="0410000F">
      <w:start w:val="1"/>
      <w:numFmt w:val="decimal"/>
      <w:lvlText w:val="%1."/>
      <w:lvlJc w:val="left"/>
      <w:pPr>
        <w:ind w:left="4380" w:hanging="360"/>
      </w:pPr>
    </w:lvl>
    <w:lvl w:ilvl="1" w:tplc="04100019" w:tentative="1">
      <w:start w:val="1"/>
      <w:numFmt w:val="lowerLetter"/>
      <w:lvlText w:val="%2."/>
      <w:lvlJc w:val="left"/>
      <w:pPr>
        <w:ind w:left="5100" w:hanging="360"/>
      </w:pPr>
    </w:lvl>
    <w:lvl w:ilvl="2" w:tplc="0410001B" w:tentative="1">
      <w:start w:val="1"/>
      <w:numFmt w:val="lowerRoman"/>
      <w:lvlText w:val="%3."/>
      <w:lvlJc w:val="right"/>
      <w:pPr>
        <w:ind w:left="5820" w:hanging="180"/>
      </w:pPr>
    </w:lvl>
    <w:lvl w:ilvl="3" w:tplc="0410000F" w:tentative="1">
      <w:start w:val="1"/>
      <w:numFmt w:val="decimal"/>
      <w:lvlText w:val="%4."/>
      <w:lvlJc w:val="left"/>
      <w:pPr>
        <w:ind w:left="6540" w:hanging="360"/>
      </w:pPr>
    </w:lvl>
    <w:lvl w:ilvl="4" w:tplc="04100019" w:tentative="1">
      <w:start w:val="1"/>
      <w:numFmt w:val="lowerLetter"/>
      <w:lvlText w:val="%5."/>
      <w:lvlJc w:val="left"/>
      <w:pPr>
        <w:ind w:left="7260" w:hanging="360"/>
      </w:pPr>
    </w:lvl>
    <w:lvl w:ilvl="5" w:tplc="0410001B" w:tentative="1">
      <w:start w:val="1"/>
      <w:numFmt w:val="lowerRoman"/>
      <w:lvlText w:val="%6."/>
      <w:lvlJc w:val="right"/>
      <w:pPr>
        <w:ind w:left="7980" w:hanging="180"/>
      </w:pPr>
    </w:lvl>
    <w:lvl w:ilvl="6" w:tplc="0410000F" w:tentative="1">
      <w:start w:val="1"/>
      <w:numFmt w:val="decimal"/>
      <w:lvlText w:val="%7."/>
      <w:lvlJc w:val="left"/>
      <w:pPr>
        <w:ind w:left="8700" w:hanging="360"/>
      </w:pPr>
    </w:lvl>
    <w:lvl w:ilvl="7" w:tplc="04100019" w:tentative="1">
      <w:start w:val="1"/>
      <w:numFmt w:val="lowerLetter"/>
      <w:lvlText w:val="%8."/>
      <w:lvlJc w:val="left"/>
      <w:pPr>
        <w:ind w:left="9420" w:hanging="360"/>
      </w:pPr>
    </w:lvl>
    <w:lvl w:ilvl="8" w:tplc="0410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1" w15:restartNumberingAfterBreak="0">
    <w:nsid w:val="758669F4"/>
    <w:multiLevelType w:val="hybridMultilevel"/>
    <w:tmpl w:val="509CD572"/>
    <w:lvl w:ilvl="0" w:tplc="B2EA6B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2"/>
    <w:rsid w:val="00611CFF"/>
    <w:rsid w:val="00966D99"/>
    <w:rsid w:val="00C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673A-CEAE-4CFE-819A-F486FD5C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2021-04-13T07:36:00Z</dcterms:created>
  <dcterms:modified xsi:type="dcterms:W3CDTF">2021-04-13T07:57:00Z</dcterms:modified>
</cp:coreProperties>
</file>